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申请人在规定时间登录中国教师资格网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申请人在规定时间登录中国教师资格网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17327"/>
    <w:rsid w:val="00B411C5"/>
    <w:rsid w:val="00B46D81"/>
    <w:rsid w:val="00B607F5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01B9A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2FE99C3B"/>
    <w:rsid w:val="35D3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64</Characters>
  <Lines>1</Lines>
  <Paragraphs>1</Paragraphs>
  <TotalTime>1118</TotalTime>
  <ScaleCrop>false</ScaleCrop>
  <LinksUpToDate>false</LinksUpToDate>
  <CharactersWithSpaces>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2019-04-08T15:36:00Z</dcterms:created>
  <dc:creator>CH.</dc:creator>
  <cp:lastModifiedBy>阿妩</cp:lastModifiedBy>
  <dcterms:modified xsi:type="dcterms:W3CDTF">2023-04-10T03:12:46Z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A32D43E21537464BA043321D54BEBAD3</vt:lpwstr>
  </property>
</Properties>
</file>